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Інформація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стан виконан</w:t>
      </w:r>
      <w:r w:rsidR="00496819">
        <w:rPr>
          <w:rFonts w:ascii="Times New Roman" w:hAnsi="Times New Roman"/>
          <w:b/>
          <w:bCs/>
          <w:sz w:val="28"/>
          <w:szCs w:val="28"/>
          <w:lang w:val="uk-UA"/>
        </w:rPr>
        <w:t>ня Антикорупційної програми МВС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Медичним реабілітаційним центром МВС України </w:t>
      </w:r>
    </w:p>
    <w:p w:rsidR="00B95AD7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«Перлина Прикарпаття»</w:t>
      </w:r>
    </w:p>
    <w:p w:rsidR="00241A63" w:rsidRDefault="00241A63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І квартал 2023 року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B0FC8" w:rsidRPr="004D388D" w:rsidTr="004B0FC8">
        <w:tc>
          <w:tcPr>
            <w:tcW w:w="2463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463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464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2464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4B0FC8" w:rsidRPr="004D388D" w:rsidTr="004B0FC8">
        <w:tc>
          <w:tcPr>
            <w:tcW w:w="2463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Погодження проєктів антикорупційних програм</w:t>
            </w:r>
          </w:p>
        </w:tc>
        <w:tc>
          <w:tcPr>
            <w:tcW w:w="2463" w:type="dxa"/>
          </w:tcPr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 квартал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Уповноважений з АКД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Антикорупційну програму МРЦ МВС України «Перлина Прикарпаття» на 2023 -2025 роки погоджено</w:t>
            </w:r>
          </w:p>
        </w:tc>
      </w:tr>
      <w:tr w:rsidR="004B0FC8" w:rsidRPr="004D388D" w:rsidTr="004B0FC8">
        <w:tc>
          <w:tcPr>
            <w:tcW w:w="2463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 засідань робочої групи з оцінювання корупційних ризиків у МВС з метою щорічного оцінювання корупційних ризиків у діяльності МВС</w:t>
            </w:r>
          </w:p>
        </w:tc>
        <w:tc>
          <w:tcPr>
            <w:tcW w:w="2463" w:type="dxa"/>
          </w:tcPr>
          <w:p w:rsidR="004B0FC8" w:rsidRPr="004D388D" w:rsidRDefault="004B0FC8" w:rsidP="004B0F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8D">
              <w:rPr>
                <w:rFonts w:ascii="Times New Roman" w:hAnsi="Times New Roman"/>
                <w:sz w:val="24"/>
                <w:szCs w:val="24"/>
              </w:rPr>
              <w:t>Січень – Лютий</w:t>
            </w:r>
          </w:p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Уповноважений з АКД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Проведено засідання робочої групи з ОКР (підписано протоколи)</w:t>
            </w:r>
          </w:p>
        </w:tc>
      </w:tr>
      <w:tr w:rsidR="004B0FC8" w:rsidRPr="004D388D" w:rsidTr="004B0FC8">
        <w:tc>
          <w:tcPr>
            <w:tcW w:w="2463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Здійснення щоквартального моніторингу виконання Антикорупційної програми</w:t>
            </w:r>
          </w:p>
        </w:tc>
        <w:tc>
          <w:tcPr>
            <w:tcW w:w="2463" w:type="dxa"/>
          </w:tcPr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квітня 2023</w:t>
            </w:r>
          </w:p>
          <w:p w:rsidR="004B0FC8" w:rsidRPr="004D388D" w:rsidRDefault="004B0FC8" w:rsidP="004B0F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Робоча група з ОКР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 засіданні робочої групи з ОКР затверджено результати проведеного моніторингу</w:t>
            </w:r>
          </w:p>
        </w:tc>
      </w:tr>
      <w:tr w:rsidR="004B0FC8" w:rsidRPr="004D388D" w:rsidTr="004B0FC8">
        <w:tc>
          <w:tcPr>
            <w:tcW w:w="2463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>Надання закладам, установам та підприємствам, що належать до сфери управління МВС, методичної допомоги в розробленні власних антикорупційних програм та щорічному оцінюванні корупційних ризиків у їх діяльності</w:t>
            </w:r>
          </w:p>
        </w:tc>
        <w:tc>
          <w:tcPr>
            <w:tcW w:w="2463" w:type="dxa"/>
          </w:tcPr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 квартал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УЗК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Антикорупційну програму МРЦ МВС України «Перлина Прикарпаття» на 2023 -2025 роки затверджено з врахуванням зауважень УЗК.</w:t>
            </w:r>
          </w:p>
        </w:tc>
      </w:tr>
      <w:tr w:rsidR="004B0FC8" w:rsidRPr="004D388D" w:rsidTr="004B0FC8">
        <w:tc>
          <w:tcPr>
            <w:tcW w:w="2463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погодження проєктів антикорупційних програм закладів, установ та підприємств, що належать до сфери управління МВС</w:t>
            </w:r>
          </w:p>
        </w:tc>
        <w:tc>
          <w:tcPr>
            <w:tcW w:w="2463" w:type="dxa"/>
          </w:tcPr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 квартал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УЗК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Антикорупційну програму МРЦ МВС України «Перлина Прикарпаття» на 2023 -2025 роки погоджено.</w:t>
            </w:r>
          </w:p>
        </w:tc>
      </w:tr>
      <w:tr w:rsidR="004B0FC8" w:rsidRPr="004D388D" w:rsidTr="004B0FC8">
        <w:tc>
          <w:tcPr>
            <w:tcW w:w="2463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Актуалізація інформації,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тому </w:t>
            </w: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числі контактних даних, про керівників уповноважених підрозділів (осіб) з питань запобігання та виявлення корупції</w:t>
            </w:r>
          </w:p>
        </w:tc>
        <w:tc>
          <w:tcPr>
            <w:tcW w:w="2463" w:type="dxa"/>
          </w:tcPr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Щокварталу,</w:t>
            </w:r>
          </w:p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не пізніше 5 </w:t>
            </w:r>
          </w:p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числа місяця,</w:t>
            </w:r>
          </w:p>
          <w:p w:rsidR="004B0FC8" w:rsidRPr="004D388D" w:rsidRDefault="004B0FC8" w:rsidP="004B0FC8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що настає за звітним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Уповноважений з АКД</w:t>
            </w:r>
          </w:p>
        </w:tc>
        <w:tc>
          <w:tcPr>
            <w:tcW w:w="2464" w:type="dxa"/>
          </w:tcPr>
          <w:p w:rsidR="004B0FC8" w:rsidRPr="004D388D" w:rsidRDefault="004B0FC8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Дані про уповноважену особу </w:t>
            </w: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з антикорупційної діяльності МРЦ МВС України «Перлина Прикарпаття» не змінились.</w:t>
            </w:r>
          </w:p>
        </w:tc>
      </w:tr>
      <w:tr w:rsidR="00606E16" w:rsidRPr="004D388D" w:rsidTr="004B0FC8">
        <w:tc>
          <w:tcPr>
            <w:tcW w:w="2463" w:type="dxa"/>
          </w:tcPr>
          <w:p w:rsidR="00606E16" w:rsidRPr="004D388D" w:rsidRDefault="00606E16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Проведення нарад-семінарів з керівниками уповноважених підрозділів (особами) з питань запобігання та виявлення корупції закладів, установ та підприємств, що належать до сфери управління МВС</w:t>
            </w:r>
          </w:p>
        </w:tc>
        <w:tc>
          <w:tcPr>
            <w:tcW w:w="2463" w:type="dxa"/>
          </w:tcPr>
          <w:p w:rsidR="00606E16" w:rsidRPr="004D388D" w:rsidRDefault="00606E16" w:rsidP="004B0FC8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464" w:type="dxa"/>
          </w:tcPr>
          <w:p w:rsidR="00606E16" w:rsidRPr="004D388D" w:rsidRDefault="00606E16" w:rsidP="00B6686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УЗК</w:t>
            </w:r>
          </w:p>
        </w:tc>
        <w:tc>
          <w:tcPr>
            <w:tcW w:w="2464" w:type="dxa"/>
          </w:tcPr>
          <w:p w:rsidR="00606E16" w:rsidRPr="004D388D" w:rsidRDefault="00606E16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Уповноваженою особою з АКД взято участь в публічному обговоренні Антикорупційної програми МВС на 2023-2025 роки</w:t>
            </w:r>
          </w:p>
        </w:tc>
      </w:tr>
      <w:tr w:rsidR="00606E16" w:rsidRPr="004D388D" w:rsidTr="004B0FC8">
        <w:tc>
          <w:tcPr>
            <w:tcW w:w="2463" w:type="dxa"/>
          </w:tcPr>
          <w:p w:rsidR="00606E16" w:rsidRPr="004D388D" w:rsidRDefault="00606E16" w:rsidP="004B0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інформування пацієнтів щодо можливості отримання безкоштовних ліків категоріями осіб, які мають право на їх отримання, порядку їх отримання та наявності, шляхом висвітлення на стендах, оприлюднення на офіційних </w:t>
            </w:r>
            <w:proofErr w:type="spellStart"/>
            <w:r w:rsidRPr="004D388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4D388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закладів охорони здоров’я, що належать до сфери управління МВС, передбачивши можливість зворотного зв’язку з пацієнтами</w:t>
            </w:r>
          </w:p>
        </w:tc>
        <w:tc>
          <w:tcPr>
            <w:tcW w:w="2463" w:type="dxa"/>
          </w:tcPr>
          <w:p w:rsidR="00606E16" w:rsidRPr="004D388D" w:rsidRDefault="00606E16" w:rsidP="00606E1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Щокварталу, </w:t>
            </w:r>
          </w:p>
          <w:p w:rsidR="00606E16" w:rsidRPr="004D388D" w:rsidRDefault="00606E16" w:rsidP="00606E1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5 числа місяця, наступного за звітним </w:t>
            </w:r>
          </w:p>
          <w:p w:rsidR="00606E16" w:rsidRPr="004D388D" w:rsidRDefault="00606E16" w:rsidP="00606E1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періодом </w:t>
            </w:r>
          </w:p>
          <w:p w:rsidR="00606E16" w:rsidRPr="004D388D" w:rsidRDefault="00606E16" w:rsidP="004B0FC8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606E16" w:rsidRPr="004D388D" w:rsidRDefault="00606E16" w:rsidP="00B66869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606E16" w:rsidRPr="004D388D" w:rsidRDefault="00606E16" w:rsidP="00606E16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розміщення актуальної інформації</w:t>
            </w:r>
          </w:p>
        </w:tc>
      </w:tr>
      <w:tr w:rsidR="004D388D" w:rsidRPr="004D388D" w:rsidTr="004B0FC8">
        <w:tc>
          <w:tcPr>
            <w:tcW w:w="2463" w:type="dxa"/>
          </w:tcPr>
          <w:p w:rsidR="004D388D" w:rsidRPr="004D388D" w:rsidRDefault="004D388D" w:rsidP="004B0FC8">
            <w:pP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Забезпечення інформування пацієнтів щодо надання медичних послуг на договірних основах у закладах охорони здоров’я, що належать до сфери управління МВС, тарифи на надані послуги</w:t>
            </w:r>
          </w:p>
        </w:tc>
        <w:tc>
          <w:tcPr>
            <w:tcW w:w="2463" w:type="dxa"/>
          </w:tcPr>
          <w:p w:rsidR="004D388D" w:rsidRPr="004D388D" w:rsidRDefault="004D388D" w:rsidP="004D388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Щокварталу, </w:t>
            </w:r>
          </w:p>
          <w:p w:rsidR="004D388D" w:rsidRPr="004D388D" w:rsidRDefault="004D388D" w:rsidP="004D388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5 числа місяця, наступного за звітним </w:t>
            </w:r>
          </w:p>
          <w:p w:rsidR="004D388D" w:rsidRPr="004D388D" w:rsidRDefault="004D388D" w:rsidP="004D388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>періодом</w:t>
            </w:r>
          </w:p>
        </w:tc>
        <w:tc>
          <w:tcPr>
            <w:tcW w:w="2464" w:type="dxa"/>
          </w:tcPr>
          <w:p w:rsidR="004D388D" w:rsidRPr="004D388D" w:rsidRDefault="004D388D" w:rsidP="00B66869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4D388D" w:rsidRPr="004D388D" w:rsidRDefault="004D388D" w:rsidP="00606E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розміщення актуальної інформації</w:t>
            </w:r>
          </w:p>
        </w:tc>
      </w:tr>
      <w:tr w:rsidR="004D388D" w:rsidRPr="00241A63" w:rsidTr="004B0FC8">
        <w:tc>
          <w:tcPr>
            <w:tcW w:w="2463" w:type="dxa"/>
          </w:tcPr>
          <w:p w:rsidR="004D388D" w:rsidRPr="004D388D" w:rsidRDefault="004D388D" w:rsidP="004B0FC8">
            <w:pP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повідомлень</w:t>
            </w:r>
            <w:r w:rsidRPr="004D38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із корупцією правопорушень, інших порушень Закону України «Про запобігання корупції» працівниками МВС</w:t>
            </w:r>
          </w:p>
        </w:tc>
        <w:tc>
          <w:tcPr>
            <w:tcW w:w="2463" w:type="dxa"/>
          </w:tcPr>
          <w:p w:rsidR="004D388D" w:rsidRPr="004D388D" w:rsidRDefault="004D388D" w:rsidP="004D388D">
            <w:pPr>
              <w:ind w:left="-95"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Постійно протягом </w:t>
            </w:r>
            <w:r w:rsidRPr="004D38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року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D388D" w:rsidRPr="004D388D" w:rsidRDefault="004D388D" w:rsidP="004D388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>(у строки, визначені статтями 53, 53</w:t>
            </w:r>
            <w:r w:rsidRPr="004D388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України «Про запобігання корупції»)</w:t>
            </w:r>
          </w:p>
        </w:tc>
        <w:tc>
          <w:tcPr>
            <w:tcW w:w="2464" w:type="dxa"/>
          </w:tcPr>
          <w:p w:rsidR="004D388D" w:rsidRPr="004D388D" w:rsidRDefault="004D388D" w:rsidP="00B66869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Начальник МРЦ</w:t>
            </w:r>
          </w:p>
        </w:tc>
        <w:tc>
          <w:tcPr>
            <w:tcW w:w="2464" w:type="dxa"/>
          </w:tcPr>
          <w:p w:rsidR="004D388D" w:rsidRPr="004D388D" w:rsidRDefault="004D388D" w:rsidP="00606E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 першому кварталі </w:t>
            </w: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2023 року повідомлення про</w:t>
            </w:r>
            <w:r w:rsidRPr="004D38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можливі факти корупційних або пов’язаних із корупцією правопорушень, інших порушень Закону України «Про запобігання корупції» працівниками МВС</w:t>
            </w: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не надходили</w:t>
            </w:r>
          </w:p>
        </w:tc>
      </w:tr>
      <w:tr w:rsidR="004D388D" w:rsidRPr="004D388D" w:rsidTr="004B0FC8">
        <w:tc>
          <w:tcPr>
            <w:tcW w:w="2463" w:type="dxa"/>
          </w:tcPr>
          <w:p w:rsidR="004D388D" w:rsidRPr="004D388D" w:rsidRDefault="004D388D" w:rsidP="004B0F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аналізу стану заохочення викривачів та культури повідомлення в апараті МВС, ГСЦ МВС, закладах, установах та на підприємствах, що належать сфері управління МВС</w:t>
            </w:r>
          </w:p>
        </w:tc>
        <w:tc>
          <w:tcPr>
            <w:tcW w:w="2463" w:type="dxa"/>
          </w:tcPr>
          <w:p w:rsidR="004D388D" w:rsidRPr="004D388D" w:rsidRDefault="004D388D" w:rsidP="004D388D">
            <w:pPr>
              <w:ind w:left="-95" w:right="-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D38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Лютий 2023</w:t>
            </w:r>
          </w:p>
        </w:tc>
        <w:tc>
          <w:tcPr>
            <w:tcW w:w="2464" w:type="dxa"/>
          </w:tcPr>
          <w:p w:rsidR="004D388D" w:rsidRPr="004D388D" w:rsidRDefault="004D388D" w:rsidP="00B66869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4D388D" w:rsidRPr="004D388D" w:rsidRDefault="004D388D" w:rsidP="00606E16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 першому кварталі 2023 року повідомлення про</w:t>
            </w:r>
            <w:r w:rsidRPr="004D38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можливі факти порушень антикорупційного законодавства не надходили.</w:t>
            </w:r>
          </w:p>
        </w:tc>
      </w:tr>
    </w:tbl>
    <w:p w:rsidR="004B0FC8" w:rsidRDefault="004B0FC8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96819" w:rsidRDefault="00496819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Уповноважений </w:t>
      </w: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 антикорупційної діяльності </w:t>
      </w: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МРЦ МВС України </w:t>
      </w:r>
    </w:p>
    <w:p w:rsidR="004D388D" w:rsidRPr="004B0FC8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«Перлина Прикарпаття»                                                             Михайло ЛОБІВ</w:t>
      </w:r>
    </w:p>
    <w:sectPr w:rsidR="004D388D" w:rsidRPr="004B0FC8" w:rsidSect="004B0F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C8"/>
    <w:rsid w:val="00037549"/>
    <w:rsid w:val="00214C61"/>
    <w:rsid w:val="00241A63"/>
    <w:rsid w:val="002D4048"/>
    <w:rsid w:val="003967F3"/>
    <w:rsid w:val="00496819"/>
    <w:rsid w:val="004B0FC8"/>
    <w:rsid w:val="004D388D"/>
    <w:rsid w:val="005356D5"/>
    <w:rsid w:val="005802F0"/>
    <w:rsid w:val="00606E16"/>
    <w:rsid w:val="00681A45"/>
    <w:rsid w:val="007454D0"/>
    <w:rsid w:val="008849D1"/>
    <w:rsid w:val="008F0AD1"/>
    <w:rsid w:val="00A436EB"/>
    <w:rsid w:val="00AF7493"/>
    <w:rsid w:val="00B54FF2"/>
    <w:rsid w:val="00B95AD7"/>
    <w:rsid w:val="00D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FC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style-span">
    <w:name w:val="apple-style-span"/>
    <w:rsid w:val="00606E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Procedyru-NB</dc:creator>
  <cp:keywords/>
  <dc:description/>
  <cp:lastModifiedBy>AVK</cp:lastModifiedBy>
  <cp:revision>3</cp:revision>
  <dcterms:created xsi:type="dcterms:W3CDTF">2023-04-04T05:00:00Z</dcterms:created>
  <dcterms:modified xsi:type="dcterms:W3CDTF">2023-09-19T08:41:00Z</dcterms:modified>
</cp:coreProperties>
</file>